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2EB2" w14:textId="01AEE5D8" w:rsidR="005B1020" w:rsidRPr="005B1020" w:rsidRDefault="005B1020" w:rsidP="005B1020">
      <w:pPr>
        <w:spacing w:after="160"/>
        <w:jc w:val="right"/>
        <w:rPr>
          <w:rFonts w:ascii="Publico" w:eastAsia="Publico" w:hAnsi="Publico" w:cs="Publico"/>
          <w:b/>
          <w:bCs/>
          <w:sz w:val="56"/>
          <w:szCs w:val="56"/>
        </w:rPr>
      </w:pPr>
      <w:r>
        <w:rPr>
          <w:b/>
          <w:bCs/>
          <w:noProof/>
          <w:color w:val="B0523C"/>
          <w:spacing w:val="20"/>
          <w:sz w:val="16"/>
          <w:szCs w:val="16"/>
        </w:rPr>
        <w:drawing>
          <wp:inline distT="0" distB="0" distL="0" distR="0" wp14:anchorId="5F932D25" wp14:editId="29C5EE0D">
            <wp:extent cx="2101850" cy="687418"/>
            <wp:effectExtent l="0" t="0" r="0" b="0"/>
            <wp:docPr id="1617118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59" cy="69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CC01F" w14:textId="1B6EDF6E" w:rsidR="005E46B0" w:rsidRPr="005B1020" w:rsidRDefault="001D1F14" w:rsidP="005B1020">
      <w:pPr>
        <w:spacing w:after="160"/>
        <w:rPr>
          <w:sz w:val="48"/>
          <w:szCs w:val="48"/>
        </w:rPr>
      </w:pPr>
      <w:r w:rsidRPr="005B1020">
        <w:rPr>
          <w:rFonts w:ascii="Publico" w:eastAsia="Publico" w:hAnsi="Publico" w:cs="Publico"/>
          <w:b/>
          <w:bCs/>
          <w:sz w:val="48"/>
          <w:szCs w:val="48"/>
        </w:rPr>
        <w:t>Landlord Fees Schedule</w:t>
      </w:r>
      <w:r w:rsidR="005B1020" w:rsidRPr="005B1020">
        <w:rPr>
          <w:b/>
          <w:bCs/>
          <w:noProof/>
          <w:color w:val="B0523C"/>
          <w:spacing w:val="20"/>
          <w:sz w:val="48"/>
          <w:szCs w:val="48"/>
        </w:rPr>
        <w:t xml:space="preserve">                                    </w:t>
      </w:r>
    </w:p>
    <w:p w14:paraId="36E364F1" w14:textId="77777777" w:rsidR="005E46B0" w:rsidRDefault="001D1F14">
      <w:pPr>
        <w:spacing w:after="300"/>
      </w:pPr>
      <w:r>
        <w:rPr>
          <w:color w:val="6B6B6D"/>
          <w:sz w:val="21"/>
          <w:szCs w:val="21"/>
        </w:rPr>
        <w:t>Fees charged to landlords for tenant introduction, tenancy administration and property management.</w:t>
      </w:r>
    </w:p>
    <w:p w14:paraId="4CA438CF" w14:textId="77777777" w:rsidR="005E46B0" w:rsidRDefault="001D1F14">
      <w:pPr>
        <w:pBdr>
          <w:bottom w:val="single" w:sz="6" w:space="0" w:color="B0523C"/>
        </w:pBdr>
        <w:spacing w:before="420" w:after="180"/>
      </w:pPr>
      <w:r>
        <w:rPr>
          <w:rFonts w:ascii="Publico" w:eastAsia="Publico" w:hAnsi="Publico" w:cs="Publico"/>
          <w:b/>
          <w:bCs/>
          <w:color w:val="B0523C"/>
          <w:sz w:val="30"/>
          <w:szCs w:val="30"/>
        </w:rPr>
        <w:t>Levels of Service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60" w:type="dxa"/>
          <w:bottom w:w="120" w:type="dxa"/>
          <w:right w:w="16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46B0" w14:paraId="557EB3C1" w14:textId="77777777">
        <w:trPr>
          <w:cantSplit/>
        </w:trPr>
        <w:tc>
          <w:tcPr>
            <w:tcW w:w="10206" w:type="dxa"/>
            <w:tcBorders>
              <w:top w:val="none" w:sz="0" w:space="0" w:color="FFFFFF"/>
              <w:left w:val="single" w:sz="24" w:space="0" w:color="B0523C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0" w:type="dxa"/>
              <w:left w:w="300" w:type="dxa"/>
              <w:bottom w:w="220" w:type="dxa"/>
              <w:right w:w="300" w:type="dxa"/>
            </w:tcMar>
          </w:tcPr>
          <w:p w14:paraId="53242D12" w14:textId="77777777" w:rsidR="005E46B0" w:rsidRDefault="001D1F14">
            <w:pPr>
              <w:spacing w:after="60"/>
            </w:pPr>
            <w:r>
              <w:rPr>
                <w:rFonts w:ascii="Publico" w:eastAsia="Publico" w:hAnsi="Publico" w:cs="Publico"/>
                <w:b/>
                <w:bCs/>
                <w:sz w:val="24"/>
                <w:szCs w:val="24"/>
              </w:rPr>
              <w:t>Tenant Introduction</w:t>
            </w:r>
          </w:p>
          <w:p w14:paraId="2DE1FD82" w14:textId="28E6214E" w:rsidR="005E46B0" w:rsidRDefault="001D1F14">
            <w:pPr>
              <w:spacing w:after="100"/>
            </w:pPr>
            <w:r>
              <w:rPr>
                <w:i/>
                <w:iCs/>
                <w:color w:val="6B6B6D"/>
                <w:sz w:val="19"/>
                <w:szCs w:val="19"/>
              </w:rPr>
              <w:t xml:space="preserve">For landlords who want to manage the </w:t>
            </w:r>
            <w:r w:rsidR="005B1020">
              <w:rPr>
                <w:i/>
                <w:iCs/>
                <w:color w:val="6B6B6D"/>
                <w:sz w:val="19"/>
                <w:szCs w:val="19"/>
              </w:rPr>
              <w:t xml:space="preserve">paperwork and </w:t>
            </w:r>
            <w:r>
              <w:rPr>
                <w:i/>
                <w:iCs/>
                <w:color w:val="6B6B6D"/>
                <w:sz w:val="19"/>
                <w:szCs w:val="19"/>
              </w:rPr>
              <w:t>tenancy themselves once a tenant has been secured.</w:t>
            </w:r>
          </w:p>
          <w:p w14:paraId="51C72244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Marketing, enquiry handling and accompanied viewings</w:t>
            </w:r>
          </w:p>
          <w:p w14:paraId="5F7A73D3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Offer negotiation and tenant selection</w:t>
            </w:r>
          </w:p>
          <w:p w14:paraId="77BA5FC8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Handover for landlord-managed tenancy set-up and ongoing management</w:t>
            </w:r>
          </w:p>
          <w:p w14:paraId="43F97EB5" w14:textId="77777777" w:rsidR="005E46B0" w:rsidRDefault="001D1F14">
            <w:pPr>
              <w:pBdr>
                <w:top w:val="single" w:sz="4" w:space="0" w:color="F0CAC1"/>
              </w:pBdr>
              <w:spacing w:before="100"/>
            </w:pPr>
            <w:r>
              <w:rPr>
                <w:b/>
                <w:bCs/>
                <w:color w:val="6B6B6D"/>
                <w:spacing w:val="15"/>
                <w:sz w:val="16"/>
                <w:szCs w:val="16"/>
              </w:rPr>
              <w:t xml:space="preserve">FEE   </w:t>
            </w:r>
            <w:r>
              <w:rPr>
                <w:rFonts w:ascii="Publico" w:eastAsia="Publico" w:hAnsi="Publico" w:cs="Publico"/>
                <w:b/>
                <w:bCs/>
                <w:color w:val="B0523C"/>
                <w:sz w:val="24"/>
                <w:szCs w:val="24"/>
              </w:rPr>
              <w:t>3 weeks' rent, subject to a minimum fee of £800</w:t>
            </w:r>
          </w:p>
        </w:tc>
      </w:tr>
    </w:tbl>
    <w:p w14:paraId="78C2D052" w14:textId="77777777" w:rsidR="005E46B0" w:rsidRDefault="005E46B0">
      <w:pPr>
        <w:spacing w:after="24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60" w:type="dxa"/>
          <w:bottom w:w="120" w:type="dxa"/>
          <w:right w:w="16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46B0" w14:paraId="4DB8AEEF" w14:textId="77777777">
        <w:trPr>
          <w:cantSplit/>
        </w:trPr>
        <w:tc>
          <w:tcPr>
            <w:tcW w:w="10206" w:type="dxa"/>
            <w:tcBorders>
              <w:top w:val="none" w:sz="0" w:space="0" w:color="FFFFFF"/>
              <w:left w:val="single" w:sz="24" w:space="0" w:color="E5875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0" w:type="dxa"/>
              <w:left w:w="300" w:type="dxa"/>
              <w:bottom w:w="220" w:type="dxa"/>
              <w:right w:w="300" w:type="dxa"/>
            </w:tcMar>
          </w:tcPr>
          <w:p w14:paraId="64BED87E" w14:textId="77777777" w:rsidR="005E46B0" w:rsidRDefault="001D1F14">
            <w:pPr>
              <w:spacing w:after="60"/>
            </w:pPr>
            <w:r>
              <w:rPr>
                <w:rFonts w:ascii="Publico" w:eastAsia="Publico" w:hAnsi="Publico" w:cs="Publico"/>
                <w:b/>
                <w:bCs/>
                <w:sz w:val="24"/>
                <w:szCs w:val="24"/>
              </w:rPr>
              <w:t>Lettings Service &amp; Rent Collection</w:t>
            </w:r>
          </w:p>
          <w:p w14:paraId="0884399C" w14:textId="7D710E58" w:rsidR="005E46B0" w:rsidRDefault="001D1F14">
            <w:pPr>
              <w:spacing w:after="100"/>
            </w:pPr>
            <w:r>
              <w:rPr>
                <w:i/>
                <w:iCs/>
                <w:color w:val="6B6B6D"/>
                <w:sz w:val="19"/>
                <w:szCs w:val="19"/>
              </w:rPr>
              <w:t>For landlords who want support with the letting and ongoing rent administration while remaining involved in the property</w:t>
            </w:r>
            <w:r w:rsidR="005B1020">
              <w:rPr>
                <w:i/>
                <w:iCs/>
                <w:color w:val="6B6B6D"/>
                <w:sz w:val="19"/>
                <w:szCs w:val="19"/>
              </w:rPr>
              <w:t xml:space="preserve"> management</w:t>
            </w:r>
            <w:r>
              <w:rPr>
                <w:i/>
                <w:iCs/>
                <w:color w:val="6B6B6D"/>
                <w:sz w:val="19"/>
                <w:szCs w:val="19"/>
              </w:rPr>
              <w:t>.</w:t>
            </w:r>
          </w:p>
          <w:p w14:paraId="53A2D55C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Everything included in Tenant Introduction</w:t>
            </w:r>
          </w:p>
          <w:p w14:paraId="28E01366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Rent collection, monthly statements and landlord payments</w:t>
            </w:r>
          </w:p>
          <w:p w14:paraId="3754F5E4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Arrears monitoring and tenant communication</w:t>
            </w:r>
          </w:p>
          <w:p w14:paraId="5169EA64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End-of-tenancy support</w:t>
            </w:r>
          </w:p>
          <w:p w14:paraId="6751F1DE" w14:textId="77777777" w:rsidR="005E46B0" w:rsidRDefault="001D1F14">
            <w:pPr>
              <w:pBdr>
                <w:top w:val="single" w:sz="4" w:space="0" w:color="F0CAC1"/>
              </w:pBdr>
              <w:spacing w:before="100"/>
            </w:pPr>
            <w:r>
              <w:rPr>
                <w:b/>
                <w:bCs/>
                <w:color w:val="6B6B6D"/>
                <w:spacing w:val="15"/>
                <w:sz w:val="16"/>
                <w:szCs w:val="16"/>
              </w:rPr>
              <w:t xml:space="preserve">FEE   </w:t>
            </w:r>
            <w:r>
              <w:rPr>
                <w:rFonts w:ascii="Publico" w:eastAsia="Publico" w:hAnsi="Publico" w:cs="Publico"/>
                <w:b/>
                <w:bCs/>
                <w:color w:val="E5875F"/>
                <w:sz w:val="24"/>
                <w:szCs w:val="24"/>
              </w:rPr>
              <w:t>9% of monthly rent, ongoing</w:t>
            </w:r>
          </w:p>
        </w:tc>
      </w:tr>
    </w:tbl>
    <w:p w14:paraId="411BE622" w14:textId="77777777" w:rsidR="005E46B0" w:rsidRDefault="005E46B0">
      <w:pPr>
        <w:spacing w:after="24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60" w:type="dxa"/>
          <w:bottom w:w="120" w:type="dxa"/>
          <w:right w:w="16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46B0" w14:paraId="1753D9C5" w14:textId="77777777">
        <w:trPr>
          <w:cantSplit/>
        </w:trPr>
        <w:tc>
          <w:tcPr>
            <w:tcW w:w="10206" w:type="dxa"/>
            <w:tcBorders>
              <w:top w:val="none" w:sz="0" w:space="0" w:color="FFFFFF"/>
              <w:left w:val="single" w:sz="24" w:space="0" w:color="B0523C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0" w:type="dxa"/>
              <w:left w:w="300" w:type="dxa"/>
              <w:bottom w:w="220" w:type="dxa"/>
              <w:right w:w="300" w:type="dxa"/>
            </w:tcMar>
          </w:tcPr>
          <w:p w14:paraId="665881FD" w14:textId="77777777" w:rsidR="005E46B0" w:rsidRDefault="001D1F14">
            <w:pPr>
              <w:spacing w:after="60"/>
            </w:pPr>
            <w:r>
              <w:rPr>
                <w:rFonts w:ascii="Publico" w:eastAsia="Publico" w:hAnsi="Publico" w:cs="Publico"/>
                <w:b/>
                <w:bCs/>
                <w:sz w:val="24"/>
                <w:szCs w:val="24"/>
              </w:rPr>
              <w:t>Complete Management Service</w:t>
            </w:r>
          </w:p>
          <w:p w14:paraId="6C7FA65E" w14:textId="77777777" w:rsidR="005E46B0" w:rsidRDefault="001D1F14">
            <w:pPr>
              <w:spacing w:after="100"/>
            </w:pPr>
            <w:r>
              <w:rPr>
                <w:i/>
                <w:iCs/>
                <w:color w:val="6B6B6D"/>
                <w:sz w:val="19"/>
                <w:szCs w:val="19"/>
              </w:rPr>
              <w:t>For landlords who want a hands-off service from marketing through to the end of the tenancy.</w:t>
            </w:r>
          </w:p>
          <w:p w14:paraId="781E4DB8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Everything included in Lettings Service &amp; Rent Collection</w:t>
            </w:r>
          </w:p>
          <w:p w14:paraId="3D988980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Director-attended handover and property walk-through</w:t>
            </w:r>
          </w:p>
          <w:p w14:paraId="1FDFBE81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Deposit registration and administration</w:t>
            </w:r>
          </w:p>
          <w:p w14:paraId="659C2DE2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Dedicated contact for landlord and tenant</w:t>
            </w:r>
          </w:p>
          <w:p w14:paraId="33991AD5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Maintenance and routine contractor coordination</w:t>
            </w:r>
          </w:p>
          <w:p w14:paraId="13A72E28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Property inspections, typically every six months</w:t>
            </w:r>
          </w:p>
          <w:p w14:paraId="0FA260AB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Compliance monitoring and safety-check coordination</w:t>
            </w:r>
          </w:p>
          <w:p w14:paraId="63633312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Rent review guidance and ongoing tenancy administration</w:t>
            </w:r>
          </w:p>
          <w:p w14:paraId="6FAB2728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Right-to-Rent follow-up checks where required</w:t>
            </w:r>
          </w:p>
          <w:p w14:paraId="140A1FC5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Check-out, dilapidations and deposit return</w:t>
            </w:r>
          </w:p>
          <w:p w14:paraId="63719451" w14:textId="77777777" w:rsidR="005E46B0" w:rsidRDefault="001D1F14">
            <w:pPr>
              <w:pBdr>
                <w:top w:val="single" w:sz="4" w:space="0" w:color="F0CAC1"/>
              </w:pBdr>
              <w:spacing w:before="100"/>
            </w:pPr>
            <w:r>
              <w:rPr>
                <w:b/>
                <w:bCs/>
                <w:color w:val="6B6B6D"/>
                <w:spacing w:val="15"/>
                <w:sz w:val="16"/>
                <w:szCs w:val="16"/>
              </w:rPr>
              <w:t xml:space="preserve">FEE   </w:t>
            </w:r>
            <w:r>
              <w:rPr>
                <w:rFonts w:ascii="Publico" w:eastAsia="Publico" w:hAnsi="Publico" w:cs="Publico"/>
                <w:b/>
                <w:bCs/>
                <w:color w:val="B0523C"/>
                <w:sz w:val="24"/>
                <w:szCs w:val="24"/>
              </w:rPr>
              <w:t>12% of monthly rent, ongoing</w:t>
            </w:r>
          </w:p>
        </w:tc>
      </w:tr>
    </w:tbl>
    <w:p w14:paraId="06D61517" w14:textId="77777777" w:rsidR="005E46B0" w:rsidRDefault="005E46B0">
      <w:pPr>
        <w:spacing w:after="24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60" w:type="dxa"/>
          <w:bottom w:w="120" w:type="dxa"/>
          <w:right w:w="16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46B0" w14:paraId="586814AC" w14:textId="77777777">
        <w:trPr>
          <w:cantSplit/>
        </w:trPr>
        <w:tc>
          <w:tcPr>
            <w:tcW w:w="10206" w:type="dxa"/>
            <w:tcBorders>
              <w:top w:val="none" w:sz="0" w:space="0" w:color="FFFFFF"/>
              <w:left w:val="single" w:sz="24" w:space="0" w:color="E5875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0" w:type="dxa"/>
              <w:left w:w="300" w:type="dxa"/>
              <w:bottom w:w="220" w:type="dxa"/>
              <w:right w:w="300" w:type="dxa"/>
            </w:tcMar>
          </w:tcPr>
          <w:p w14:paraId="5DF3C183" w14:textId="77777777" w:rsidR="005E46B0" w:rsidRDefault="001D1F14">
            <w:pPr>
              <w:spacing w:after="60"/>
            </w:pPr>
            <w:r>
              <w:rPr>
                <w:rFonts w:ascii="Publico" w:eastAsia="Publico" w:hAnsi="Publico" w:cs="Publico"/>
                <w:b/>
                <w:bCs/>
                <w:sz w:val="24"/>
                <w:szCs w:val="24"/>
              </w:rPr>
              <w:lastRenderedPageBreak/>
              <w:t>Management Only</w:t>
            </w:r>
          </w:p>
          <w:p w14:paraId="6B53943B" w14:textId="77777777" w:rsidR="005E46B0" w:rsidRDefault="001D1F14">
            <w:pPr>
              <w:spacing w:after="100"/>
            </w:pPr>
            <w:r>
              <w:rPr>
                <w:i/>
                <w:iCs/>
                <w:color w:val="6B6B6D"/>
                <w:sz w:val="19"/>
                <w:szCs w:val="19"/>
              </w:rPr>
              <w:t>For landlords with an existing tenancy who require rent collection and ongoing property management.</w:t>
            </w:r>
          </w:p>
          <w:p w14:paraId="006A8CE1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Rent collection, statements, arrears monitoring and tenant communication</w:t>
            </w:r>
          </w:p>
          <w:p w14:paraId="12AB4784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Maintenance coordination, inspections and compliance monitoring</w:t>
            </w:r>
          </w:p>
          <w:p w14:paraId="4FE35A23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End-of-tenancy support</w:t>
            </w:r>
          </w:p>
          <w:p w14:paraId="6005C51F" w14:textId="77777777" w:rsidR="005E46B0" w:rsidRDefault="001D1F14">
            <w:pPr>
              <w:pBdr>
                <w:top w:val="single" w:sz="4" w:space="0" w:color="F0CAC1"/>
              </w:pBdr>
              <w:spacing w:before="100"/>
            </w:pPr>
            <w:r>
              <w:rPr>
                <w:b/>
                <w:bCs/>
                <w:color w:val="6B6B6D"/>
                <w:spacing w:val="15"/>
                <w:sz w:val="16"/>
                <w:szCs w:val="16"/>
              </w:rPr>
              <w:t xml:space="preserve">FEE   </w:t>
            </w:r>
            <w:r>
              <w:rPr>
                <w:rFonts w:ascii="Publico" w:eastAsia="Publico" w:hAnsi="Publico" w:cs="Publico"/>
                <w:b/>
                <w:bCs/>
                <w:color w:val="E5875F"/>
                <w:sz w:val="24"/>
                <w:szCs w:val="24"/>
              </w:rPr>
              <w:t>6% of monthly rent, ongoing</w:t>
            </w:r>
          </w:p>
        </w:tc>
      </w:tr>
    </w:tbl>
    <w:p w14:paraId="2BEDDF3B" w14:textId="77777777" w:rsidR="005E46B0" w:rsidRDefault="005E46B0">
      <w:pPr>
        <w:spacing w:after="24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60" w:type="dxa"/>
          <w:bottom w:w="120" w:type="dxa"/>
          <w:right w:w="16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46B0" w14:paraId="6245562F" w14:textId="77777777">
        <w:trPr>
          <w:cantSplit/>
        </w:trPr>
        <w:tc>
          <w:tcPr>
            <w:tcW w:w="10206" w:type="dxa"/>
            <w:tcBorders>
              <w:top w:val="none" w:sz="0" w:space="0" w:color="FFFFFF"/>
              <w:left w:val="single" w:sz="24" w:space="0" w:color="B0523C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0" w:type="dxa"/>
              <w:left w:w="300" w:type="dxa"/>
              <w:bottom w:w="220" w:type="dxa"/>
              <w:right w:w="300" w:type="dxa"/>
            </w:tcMar>
          </w:tcPr>
          <w:p w14:paraId="5F999E9E" w14:textId="77777777" w:rsidR="005E46B0" w:rsidRDefault="001D1F14">
            <w:pPr>
              <w:spacing w:after="60"/>
            </w:pPr>
            <w:r>
              <w:rPr>
                <w:rFonts w:ascii="Publico" w:eastAsia="Publico" w:hAnsi="Publico" w:cs="Publico"/>
                <w:b/>
                <w:bCs/>
                <w:sz w:val="24"/>
                <w:szCs w:val="24"/>
              </w:rPr>
              <w:t>Vacant Property Management</w:t>
            </w:r>
          </w:p>
          <w:p w14:paraId="2366F87B" w14:textId="77777777" w:rsidR="005E46B0" w:rsidRDefault="001D1F14">
            <w:pPr>
              <w:spacing w:after="100"/>
            </w:pPr>
            <w:r>
              <w:rPr>
                <w:i/>
                <w:iCs/>
                <w:color w:val="6B6B6D"/>
                <w:sz w:val="19"/>
                <w:szCs w:val="19"/>
              </w:rPr>
              <w:t>For landlords who require ongoing oversight of an unoccupied property, typically for periods of one month or more.</w:t>
            </w:r>
          </w:p>
          <w:p w14:paraId="40573B6F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Agreed visits, key holding, access coordination and reporting</w:t>
            </w:r>
          </w:p>
          <w:p w14:paraId="6D8FE65E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Routine contractor arrangements where required</w:t>
            </w:r>
          </w:p>
          <w:p w14:paraId="44858435" w14:textId="77777777" w:rsidR="005E46B0" w:rsidRDefault="001D1F14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>Contractor charges and substantial works are charged separately</w:t>
            </w:r>
          </w:p>
          <w:p w14:paraId="512DB9FF" w14:textId="77777777" w:rsidR="005E46B0" w:rsidRDefault="001D1F14">
            <w:pPr>
              <w:pBdr>
                <w:top w:val="single" w:sz="4" w:space="0" w:color="F0CAC1"/>
              </w:pBdr>
              <w:spacing w:before="100"/>
            </w:pPr>
            <w:r>
              <w:rPr>
                <w:b/>
                <w:bCs/>
                <w:color w:val="6B6B6D"/>
                <w:spacing w:val="15"/>
                <w:sz w:val="16"/>
                <w:szCs w:val="16"/>
              </w:rPr>
              <w:t xml:space="preserve">FEE   </w:t>
            </w:r>
            <w:r>
              <w:rPr>
                <w:rFonts w:ascii="Publico" w:eastAsia="Publico" w:hAnsi="Publico" w:cs="Publico"/>
                <w:b/>
                <w:bCs/>
                <w:color w:val="B0523C"/>
                <w:sz w:val="24"/>
                <w:szCs w:val="24"/>
              </w:rPr>
              <w:t>From £200 per month</w:t>
            </w:r>
          </w:p>
        </w:tc>
      </w:tr>
    </w:tbl>
    <w:p w14:paraId="19082E28" w14:textId="77777777" w:rsidR="005E46B0" w:rsidRDefault="005E46B0">
      <w:pPr>
        <w:spacing w:after="240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46B0" w14:paraId="7A832715" w14:textId="77777777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one" w:sz="0" w:space="0" w:color="FFFFFF"/>
              <w:left w:val="single" w:sz="24" w:space="0" w:color="F3BF6C"/>
              <w:bottom w:val="none" w:sz="0" w:space="0" w:color="FFFFFF"/>
              <w:right w:val="none" w:sz="0" w:space="0" w:color="FFFFFF"/>
            </w:tcBorders>
            <w:shd w:val="clear" w:color="auto" w:fill="FBEEE9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69DF6947" w14:textId="77777777" w:rsidR="005E46B0" w:rsidRDefault="001D1F14">
            <w:pPr>
              <w:spacing w:after="60"/>
            </w:pPr>
            <w:r>
              <w:rPr>
                <w:rFonts w:ascii="Publico" w:eastAsia="Publico" w:hAnsi="Publico" w:cs="Publico"/>
                <w:b/>
                <w:bCs/>
                <w:sz w:val="24"/>
                <w:szCs w:val="24"/>
              </w:rPr>
              <w:t>Corporate and Short Lets</w:t>
            </w:r>
          </w:p>
          <w:p w14:paraId="3AD6C433" w14:textId="77777777" w:rsidR="005E46B0" w:rsidRDefault="001D1F14">
            <w:pPr>
              <w:spacing w:after="60"/>
            </w:pPr>
            <w:r>
              <w:rPr>
                <w:i/>
                <w:iCs/>
                <w:color w:val="6B6B6D"/>
                <w:sz w:val="19"/>
                <w:szCs w:val="19"/>
              </w:rPr>
              <w:t>A tailored service for company lets and suitable short-let arrangements, including relocations and corporate assignments.</w:t>
            </w:r>
          </w:p>
          <w:p w14:paraId="5C31B896" w14:textId="77777777" w:rsidR="005E46B0" w:rsidRDefault="001D1F14">
            <w:pPr>
              <w:spacing w:before="40"/>
            </w:pPr>
            <w:r>
              <w:rPr>
                <w:rFonts w:ascii="Publico" w:eastAsia="Publico" w:hAnsi="Publico" w:cs="Publico"/>
                <w:b/>
                <w:bCs/>
                <w:color w:val="B0523C"/>
                <w:sz w:val="22"/>
                <w:szCs w:val="22"/>
              </w:rPr>
              <w:t>Please contact us to discuss your requirements</w:t>
            </w:r>
          </w:p>
        </w:tc>
      </w:tr>
    </w:tbl>
    <w:p w14:paraId="147F539B" w14:textId="77777777" w:rsidR="005E46B0" w:rsidRDefault="005E46B0">
      <w:pPr>
        <w:spacing w:after="200"/>
      </w:pPr>
    </w:p>
    <w:p w14:paraId="73B72843" w14:textId="77777777" w:rsidR="005E46B0" w:rsidRDefault="001D1F14">
      <w:r>
        <w:br w:type="page"/>
      </w:r>
    </w:p>
    <w:p w14:paraId="54909311" w14:textId="77777777" w:rsidR="005E46B0" w:rsidRDefault="001D1F14">
      <w:pPr>
        <w:pBdr>
          <w:bottom w:val="single" w:sz="6" w:space="0" w:color="B0523C"/>
        </w:pBdr>
        <w:spacing w:before="420" w:after="180"/>
      </w:pPr>
      <w:r>
        <w:rPr>
          <w:rFonts w:ascii="Publico" w:eastAsia="Publico" w:hAnsi="Publico" w:cs="Publico"/>
          <w:b/>
          <w:bCs/>
          <w:color w:val="B0523C"/>
          <w:sz w:val="30"/>
          <w:szCs w:val="30"/>
        </w:rPr>
        <w:lastRenderedPageBreak/>
        <w:t>Additional Agency Fees</w:t>
      </w:r>
    </w:p>
    <w:p w14:paraId="4966CF6A" w14:textId="77777777" w:rsidR="005E46B0" w:rsidRDefault="001D1F14">
      <w:pPr>
        <w:spacing w:after="200"/>
      </w:pPr>
      <w:r>
        <w:rPr>
          <w:color w:val="6B6B6D"/>
          <w:sz w:val="21"/>
          <w:szCs w:val="21"/>
        </w:rPr>
        <w:t>Additional fees apply only where the relevant service is requested or required.</w:t>
      </w:r>
    </w:p>
    <w:p w14:paraId="082FDFFE" w14:textId="77777777" w:rsidR="005E46B0" w:rsidRDefault="001D1F14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Start of Tenancy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F0CAC1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4899"/>
        <w:gridCol w:w="2653"/>
      </w:tblGrid>
      <w:tr w:rsidR="005E46B0" w14:paraId="39970EB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54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FB0B584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 item</w:t>
            </w:r>
          </w:p>
        </w:tc>
        <w:tc>
          <w:tcPr>
            <w:tcW w:w="4899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930632B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What it covers</w:t>
            </w:r>
          </w:p>
        </w:tc>
        <w:tc>
          <w:tcPr>
            <w:tcW w:w="2653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05936C6" w14:textId="77777777" w:rsidR="005E46B0" w:rsidRDefault="001D1F14">
            <w:pPr>
              <w:jc w:val="right"/>
            </w:pPr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</w:t>
            </w:r>
          </w:p>
        </w:tc>
      </w:tr>
      <w:tr w:rsidR="005E46B0" w14:paraId="00B05E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31C5293" w14:textId="77777777" w:rsidR="005E46B0" w:rsidRDefault="001D1F14">
            <w:r>
              <w:rPr>
                <w:b/>
                <w:bCs/>
                <w:sz w:val="19"/>
                <w:szCs w:val="19"/>
              </w:rPr>
              <w:t>Set-up Fee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098D847" w14:textId="77777777" w:rsidR="005E46B0" w:rsidRDefault="001D1F14">
            <w:r>
              <w:rPr>
                <w:sz w:val="19"/>
                <w:szCs w:val="19"/>
              </w:rPr>
              <w:t>Referencing up to two tenants, initial Right to Rent checks, tenancy negotiation and agreement preparation.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2ADCD79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£280 per tenancy</w:t>
            </w:r>
          </w:p>
        </w:tc>
      </w:tr>
      <w:tr w:rsidR="005E46B0" w14:paraId="3A847A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9334DAD" w14:textId="77777777" w:rsidR="005E46B0" w:rsidRDefault="001D1F14">
            <w:r>
              <w:rPr>
                <w:b/>
                <w:bCs/>
                <w:sz w:val="19"/>
                <w:szCs w:val="19"/>
              </w:rPr>
              <w:t>Additional Tenant Referencing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037AB16" w14:textId="77777777" w:rsidR="005E46B0" w:rsidRDefault="001D1F14">
            <w:r>
              <w:rPr>
                <w:sz w:val="19"/>
                <w:szCs w:val="19"/>
              </w:rPr>
              <w:t>Referencing each tenant beyond the first two.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2AB23AD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£45 per tenant</w:t>
            </w:r>
          </w:p>
        </w:tc>
      </w:tr>
      <w:tr w:rsidR="005E46B0" w14:paraId="53D44B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753D076" w14:textId="77777777" w:rsidR="005E46B0" w:rsidRDefault="001D1F14">
            <w:r>
              <w:rPr>
                <w:b/>
                <w:bCs/>
                <w:sz w:val="19"/>
                <w:szCs w:val="19"/>
              </w:rPr>
              <w:t>Guarantor Fee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570EA1A" w14:textId="77777777" w:rsidR="005E46B0" w:rsidRDefault="001D1F14">
            <w:r>
              <w:rPr>
                <w:sz w:val="19"/>
                <w:szCs w:val="19"/>
              </w:rPr>
              <w:t>Referencing and Deed of Guarantee.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7D1B9DE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£45 per guarantor</w:t>
            </w:r>
          </w:p>
        </w:tc>
      </w:tr>
      <w:tr w:rsidR="005E46B0" w14:paraId="4D8FA1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2744105" w14:textId="77777777" w:rsidR="005E46B0" w:rsidRDefault="001D1F14">
            <w:r>
              <w:rPr>
                <w:b/>
                <w:bCs/>
                <w:sz w:val="19"/>
                <w:szCs w:val="19"/>
              </w:rPr>
              <w:t>Permitted Occupier Fee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0EF05F5" w14:textId="77777777" w:rsidR="005E46B0" w:rsidRDefault="001D1F14">
            <w:r>
              <w:rPr>
                <w:sz w:val="19"/>
                <w:szCs w:val="19"/>
              </w:rPr>
              <w:t>Recording an additional permitted occupier.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CC430C4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£40 per occupier</w:t>
            </w:r>
          </w:p>
        </w:tc>
      </w:tr>
      <w:tr w:rsidR="005E46B0" w14:paraId="35A071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A40E916" w14:textId="77777777" w:rsidR="005E46B0" w:rsidRDefault="001D1F14">
            <w:r>
              <w:rPr>
                <w:b/>
                <w:bCs/>
                <w:sz w:val="19"/>
                <w:szCs w:val="19"/>
              </w:rPr>
              <w:t>Deposit Registration Fee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73AB002" w14:textId="77777777" w:rsidR="005E46B0" w:rsidRDefault="001D1F14">
            <w:r>
              <w:rPr>
                <w:sz w:val="19"/>
                <w:szCs w:val="19"/>
              </w:rPr>
              <w:t>Deposit protection, prescribed information and record keeping.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17F0D5A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Included with Complete Management</w:t>
            </w:r>
          </w:p>
          <w:p w14:paraId="722FFA41" w14:textId="77777777" w:rsidR="005E46B0" w:rsidRDefault="001D1F14">
            <w:pPr>
              <w:jc w:val="right"/>
            </w:pPr>
            <w:r>
              <w:rPr>
                <w:b/>
                <w:bCs/>
                <w:color w:val="6B6B6D"/>
                <w:sz w:val="19"/>
                <w:szCs w:val="19"/>
              </w:rPr>
              <w:t>£45 per tenancy with other services</w:t>
            </w:r>
          </w:p>
        </w:tc>
      </w:tr>
      <w:tr w:rsidR="005E46B0" w14:paraId="6C8759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7226BA4" w14:textId="77777777" w:rsidR="005E46B0" w:rsidRDefault="001D1F14">
            <w:r>
              <w:rPr>
                <w:b/>
                <w:bCs/>
                <w:sz w:val="19"/>
                <w:szCs w:val="19"/>
              </w:rPr>
              <w:t>Inventory and Check-in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E88576F" w14:textId="77777777" w:rsidR="005E46B0" w:rsidRDefault="001D1F14">
            <w:r>
              <w:rPr>
                <w:sz w:val="19"/>
                <w:szCs w:val="19"/>
              </w:rPr>
              <w:t>Independent inventory and check-in, based on property size and furnishing.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F8F0388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From £125</w:t>
            </w:r>
          </w:p>
        </w:tc>
      </w:tr>
      <w:tr w:rsidR="005E46B0" w14:paraId="308013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F8D5F80" w14:textId="77777777" w:rsidR="005E46B0" w:rsidRDefault="001D1F14">
            <w:r>
              <w:rPr>
                <w:b/>
                <w:bCs/>
                <w:sz w:val="19"/>
                <w:szCs w:val="19"/>
              </w:rPr>
              <w:t>Director-accompanied Check-in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D956A60" w14:textId="77777777" w:rsidR="005E46B0" w:rsidRDefault="001D1F14">
            <w:r>
              <w:rPr>
                <w:sz w:val="19"/>
                <w:szCs w:val="19"/>
              </w:rPr>
              <w:t>Personal attendance and walk-through at the tenant handover.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81E932E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Included with Complete Management</w:t>
            </w:r>
          </w:p>
          <w:p w14:paraId="08012F4B" w14:textId="77777777" w:rsidR="005E46B0" w:rsidRDefault="001D1F14">
            <w:pPr>
              <w:jc w:val="right"/>
            </w:pPr>
            <w:r>
              <w:rPr>
                <w:b/>
                <w:bCs/>
                <w:color w:val="6B6B6D"/>
                <w:sz w:val="19"/>
                <w:szCs w:val="19"/>
              </w:rPr>
              <w:t>£75 with other services</w:t>
            </w:r>
          </w:p>
        </w:tc>
      </w:tr>
      <w:tr w:rsidR="005E46B0" w14:paraId="34C33E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C68E75E" w14:textId="77777777" w:rsidR="005E46B0" w:rsidRDefault="001D1F14">
            <w:r>
              <w:rPr>
                <w:b/>
                <w:bCs/>
                <w:sz w:val="19"/>
                <w:szCs w:val="19"/>
              </w:rPr>
              <w:t>Landlord Withdrawal Before Move-in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F80D9B7" w14:textId="77777777" w:rsidR="005E46B0" w:rsidRDefault="001D1F14">
            <w:r>
              <w:rPr>
                <w:sz w:val="19"/>
                <w:szCs w:val="19"/>
              </w:rPr>
              <w:t>Work and costs incurred where the landlord withdraws before move-in.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D2D0FC8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£350 plus costs incurred</w:t>
            </w:r>
          </w:p>
        </w:tc>
      </w:tr>
    </w:tbl>
    <w:p w14:paraId="413CD718" w14:textId="77777777" w:rsidR="005E46B0" w:rsidRDefault="001D1F14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During Tenancy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F0CAC1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4899"/>
        <w:gridCol w:w="2653"/>
      </w:tblGrid>
      <w:tr w:rsidR="005E46B0" w14:paraId="3A8BBB7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54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61494FA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 item</w:t>
            </w:r>
          </w:p>
        </w:tc>
        <w:tc>
          <w:tcPr>
            <w:tcW w:w="4899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EA40BD1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What it covers</w:t>
            </w:r>
          </w:p>
        </w:tc>
        <w:tc>
          <w:tcPr>
            <w:tcW w:w="2653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6663854" w14:textId="77777777" w:rsidR="005E46B0" w:rsidRDefault="001D1F14">
            <w:pPr>
              <w:jc w:val="right"/>
            </w:pPr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</w:t>
            </w:r>
          </w:p>
        </w:tc>
      </w:tr>
      <w:tr w:rsidR="005E46B0" w14:paraId="76DECA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DA3B2FA" w14:textId="77777777" w:rsidR="005E46B0" w:rsidRDefault="001D1F14">
            <w:r>
              <w:rPr>
                <w:b/>
                <w:bCs/>
                <w:sz w:val="19"/>
                <w:szCs w:val="19"/>
              </w:rPr>
              <w:t>Additional Property Visit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C15E621" w14:textId="77777777" w:rsidR="005E46B0" w:rsidRDefault="001D1F14">
            <w:r>
              <w:rPr>
                <w:sz w:val="19"/>
                <w:szCs w:val="19"/>
              </w:rPr>
              <w:t>Visits beyond those included in the chosen service.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2A5A80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£75 per visit</w:t>
            </w:r>
          </w:p>
        </w:tc>
      </w:tr>
      <w:tr w:rsidR="005E46B0" w14:paraId="5BC5FC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C0C5157" w14:textId="77777777" w:rsidR="005E46B0" w:rsidRDefault="001D1F14">
            <w:r>
              <w:rPr>
                <w:b/>
                <w:bCs/>
                <w:sz w:val="19"/>
                <w:szCs w:val="19"/>
              </w:rPr>
              <w:t>Rent Increase Notice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996EB7" w14:textId="77777777" w:rsidR="005E46B0" w:rsidRDefault="001D1F14">
            <w:r>
              <w:rPr>
                <w:sz w:val="19"/>
                <w:szCs w:val="19"/>
              </w:rPr>
              <w:t>Market assessment and service of the prescribed notice.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C3942D7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£100 per tenancy</w:t>
            </w:r>
          </w:p>
        </w:tc>
      </w:tr>
      <w:tr w:rsidR="005E46B0" w14:paraId="7321C1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5696FBE" w14:textId="77777777" w:rsidR="005E46B0" w:rsidRDefault="001D1F14">
            <w:r>
              <w:rPr>
                <w:b/>
                <w:bCs/>
                <w:sz w:val="19"/>
                <w:szCs w:val="19"/>
              </w:rPr>
              <w:t>Tenancy Variation / Change of Sharer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8F0BAD8" w14:textId="77777777" w:rsidR="005E46B0" w:rsidRDefault="001D1F14">
            <w:r>
              <w:rPr>
                <w:sz w:val="19"/>
                <w:szCs w:val="19"/>
              </w:rPr>
              <w:t>Amending and reissuing tenancy documents.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63CBCBF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£150 per tenancy</w:t>
            </w:r>
          </w:p>
        </w:tc>
      </w:tr>
      <w:tr w:rsidR="005E46B0" w14:paraId="73C887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113D9B0" w14:textId="77777777" w:rsidR="005E46B0" w:rsidRDefault="001D1F14">
            <w:r>
              <w:rPr>
                <w:b/>
                <w:bCs/>
                <w:sz w:val="19"/>
                <w:szCs w:val="19"/>
              </w:rPr>
              <w:t>Right-to-Rent Follow-Up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1933272" w14:textId="77777777" w:rsidR="005E46B0" w:rsidRDefault="001D1F14">
            <w:r>
              <w:rPr>
                <w:sz w:val="19"/>
                <w:szCs w:val="19"/>
              </w:rPr>
              <w:t>Repeat check where an occupier has time-limited immigration status.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702FC7C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Included with Complete Management</w:t>
            </w:r>
          </w:p>
          <w:p w14:paraId="389CD5F2" w14:textId="77777777" w:rsidR="005E46B0" w:rsidRDefault="001D1F14">
            <w:pPr>
              <w:jc w:val="right"/>
            </w:pPr>
            <w:r>
              <w:rPr>
                <w:b/>
                <w:bCs/>
                <w:color w:val="6B6B6D"/>
                <w:sz w:val="19"/>
                <w:szCs w:val="19"/>
              </w:rPr>
              <w:t>£40 with other services</w:t>
            </w:r>
          </w:p>
        </w:tc>
      </w:tr>
      <w:tr w:rsidR="005E46B0" w14:paraId="4B4CF4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F123401" w14:textId="77777777" w:rsidR="005E46B0" w:rsidRDefault="001D1F14">
            <w:r>
              <w:rPr>
                <w:b/>
                <w:bCs/>
                <w:sz w:val="19"/>
                <w:szCs w:val="19"/>
              </w:rPr>
              <w:t>Transfer of Management During a Tenancy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8620612" w14:textId="77777777" w:rsidR="005E46B0" w:rsidRDefault="001D1F14">
            <w:r>
              <w:rPr>
                <w:sz w:val="19"/>
                <w:szCs w:val="19"/>
              </w:rPr>
              <w:t>Transferring tenancy records, client funds and deposit administration when our management ends.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38FB62E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£250 per tenancy</w:t>
            </w:r>
          </w:p>
        </w:tc>
      </w:tr>
      <w:tr w:rsidR="005E46B0" w14:paraId="502603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23F5628" w14:textId="77777777" w:rsidR="005E46B0" w:rsidRDefault="001D1F14">
            <w:r>
              <w:rPr>
                <w:b/>
                <w:bCs/>
                <w:sz w:val="19"/>
                <w:szCs w:val="19"/>
              </w:rPr>
              <w:t>Major Works and Refurbishment Coordination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2D91C24" w14:textId="77777777" w:rsidR="005E46B0" w:rsidRDefault="001D1F14">
            <w:r>
              <w:rPr>
                <w:sz w:val="19"/>
                <w:szCs w:val="19"/>
              </w:rPr>
              <w:t>Coordinating quotations, contractors, access and progress for works over £1,000.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E19623A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12% of contractor cost excluding VAT</w:t>
            </w:r>
          </w:p>
          <w:p w14:paraId="3EDA1A0C" w14:textId="77777777" w:rsidR="005E46B0" w:rsidRDefault="001D1F14">
            <w:pPr>
              <w:jc w:val="right"/>
            </w:pPr>
            <w:r>
              <w:rPr>
                <w:b/>
                <w:bCs/>
                <w:color w:val="6B6B6D"/>
                <w:sz w:val="19"/>
                <w:szCs w:val="19"/>
              </w:rPr>
              <w:t>Minimum £150</w:t>
            </w:r>
          </w:p>
        </w:tc>
      </w:tr>
      <w:tr w:rsidR="005E46B0" w14:paraId="2F6FDC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D5092AB" w14:textId="77777777" w:rsidR="005E46B0" w:rsidRDefault="001D1F14">
            <w:r>
              <w:rPr>
                <w:b/>
                <w:bCs/>
                <w:sz w:val="19"/>
                <w:szCs w:val="19"/>
              </w:rPr>
              <w:t>Routine Contractor Coordination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7178EBF" w14:textId="77777777" w:rsidR="005E46B0" w:rsidRDefault="001D1F14">
            <w:r>
              <w:rPr>
                <w:sz w:val="19"/>
                <w:szCs w:val="19"/>
              </w:rPr>
              <w:t>Routine contractor attendance and reporting outside Complete Management.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DCC336A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Included with Complete Management</w:t>
            </w:r>
          </w:p>
          <w:p w14:paraId="7DDD576D" w14:textId="77777777" w:rsidR="005E46B0" w:rsidRDefault="001D1F14">
            <w:pPr>
              <w:jc w:val="right"/>
            </w:pPr>
            <w:r>
              <w:rPr>
                <w:b/>
                <w:bCs/>
                <w:color w:val="6B6B6D"/>
                <w:sz w:val="19"/>
                <w:szCs w:val="19"/>
              </w:rPr>
              <w:t>£30 per instruction with other services</w:t>
            </w:r>
          </w:p>
        </w:tc>
      </w:tr>
    </w:tbl>
    <w:p w14:paraId="3FA345DA" w14:textId="77777777" w:rsidR="00B12377" w:rsidRDefault="00B12377">
      <w:pPr>
        <w:spacing w:before="320" w:after="120"/>
        <w:rPr>
          <w:rFonts w:ascii="Publico" w:eastAsia="Publico" w:hAnsi="Publico" w:cs="Publico"/>
          <w:b/>
          <w:bCs/>
          <w:color w:val="B0523C"/>
          <w:sz w:val="22"/>
          <w:szCs w:val="22"/>
        </w:rPr>
      </w:pPr>
    </w:p>
    <w:p w14:paraId="7164FD99" w14:textId="0CE4C697" w:rsidR="005E46B0" w:rsidRDefault="001D1F14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lastRenderedPageBreak/>
        <w:t>End of Tenancy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F0CAC1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4899"/>
        <w:gridCol w:w="2653"/>
      </w:tblGrid>
      <w:tr w:rsidR="005E46B0" w14:paraId="69EB97D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54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A61CA6C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 item</w:t>
            </w:r>
          </w:p>
        </w:tc>
        <w:tc>
          <w:tcPr>
            <w:tcW w:w="4899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49F642F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What it covers</w:t>
            </w:r>
          </w:p>
        </w:tc>
        <w:tc>
          <w:tcPr>
            <w:tcW w:w="2653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1D3157A" w14:textId="77777777" w:rsidR="005E46B0" w:rsidRDefault="001D1F14">
            <w:pPr>
              <w:jc w:val="right"/>
            </w:pPr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</w:t>
            </w:r>
          </w:p>
        </w:tc>
      </w:tr>
      <w:tr w:rsidR="005E46B0" w14:paraId="4FCDDF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E2D5852" w14:textId="77777777" w:rsidR="005E46B0" w:rsidRDefault="001D1F14">
            <w:r>
              <w:rPr>
                <w:b/>
                <w:bCs/>
                <w:sz w:val="19"/>
                <w:szCs w:val="19"/>
              </w:rPr>
              <w:t>Check-out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CA1F842" w14:textId="77777777" w:rsidR="005E46B0" w:rsidRDefault="001D1F14">
            <w:r>
              <w:rPr>
                <w:sz w:val="19"/>
                <w:szCs w:val="19"/>
              </w:rPr>
              <w:t>Updated schedule of condition and deposit deduction support; based on property size.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CBDFE33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From £85 per tenancy</w:t>
            </w:r>
          </w:p>
        </w:tc>
      </w:tr>
      <w:tr w:rsidR="005E46B0" w14:paraId="570B41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7F26DDB" w14:textId="77777777" w:rsidR="005E46B0" w:rsidRDefault="001D1F14">
            <w:r>
              <w:rPr>
                <w:b/>
                <w:bCs/>
                <w:sz w:val="19"/>
                <w:szCs w:val="19"/>
              </w:rPr>
              <w:t>Tenancy Deposit Dispute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A6D41A1" w14:textId="77777777" w:rsidR="005E46B0" w:rsidRDefault="001D1F14">
            <w:r>
              <w:rPr>
                <w:sz w:val="19"/>
                <w:szCs w:val="19"/>
              </w:rPr>
              <w:t>Reviewing records, preparing the landlord's evidence and submitting the case to the deposit scheme.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C7B7382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£180 per dispute</w:t>
            </w:r>
          </w:p>
        </w:tc>
      </w:tr>
      <w:tr w:rsidR="005E46B0" w14:paraId="0F0FD0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5C9AA17" w14:textId="77777777" w:rsidR="005E46B0" w:rsidRDefault="001D1F14">
            <w:r>
              <w:rPr>
                <w:b/>
                <w:bCs/>
                <w:sz w:val="19"/>
                <w:szCs w:val="19"/>
              </w:rPr>
              <w:t>Possession Notice — Landlord Selling or Moving In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8F0F53" w14:textId="77777777" w:rsidR="005E46B0" w:rsidRDefault="001D1F14">
            <w:r>
              <w:rPr>
                <w:sz w:val="19"/>
                <w:szCs w:val="19"/>
              </w:rPr>
              <w:t>Preparing and serving the prescribed notice where the landlord intends to sell, or the landlord or a qualifying family member intends to move in. Other possession matters are referred to a solicitor; legal advice and court proceedings are excluded.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F4B83E4" w14:textId="68F5336F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 xml:space="preserve"> £1</w:t>
            </w:r>
            <w:r w:rsidR="00B12377">
              <w:rPr>
                <w:b/>
                <w:bCs/>
                <w:color w:val="B0523C"/>
                <w:sz w:val="19"/>
                <w:szCs w:val="19"/>
              </w:rPr>
              <w:t>2</w:t>
            </w:r>
            <w:r>
              <w:rPr>
                <w:b/>
                <w:bCs/>
                <w:color w:val="B0523C"/>
                <w:sz w:val="19"/>
                <w:szCs w:val="19"/>
              </w:rPr>
              <w:t>0 per notice</w:t>
            </w:r>
          </w:p>
        </w:tc>
      </w:tr>
      <w:tr w:rsidR="005E46B0" w14:paraId="478B0D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CBE459E" w14:textId="77777777" w:rsidR="005E46B0" w:rsidRDefault="001D1F14">
            <w:r>
              <w:rPr>
                <w:b/>
                <w:bCs/>
                <w:sz w:val="19"/>
                <w:szCs w:val="19"/>
              </w:rPr>
              <w:t>Court Attendance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A81A20D" w14:textId="77777777" w:rsidR="005E46B0" w:rsidRDefault="001D1F14">
            <w:r>
              <w:rPr>
                <w:sz w:val="19"/>
                <w:szCs w:val="19"/>
              </w:rPr>
              <w:t>Attending court with the landlord; legal representation is excluded.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A32BD0A" w14:textId="4AF76BA0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£1</w:t>
            </w:r>
            <w:r w:rsidR="00B12377">
              <w:rPr>
                <w:b/>
                <w:bCs/>
                <w:color w:val="B0523C"/>
                <w:sz w:val="19"/>
                <w:szCs w:val="19"/>
              </w:rPr>
              <w:t>3</w:t>
            </w:r>
            <w:r>
              <w:rPr>
                <w:b/>
                <w:bCs/>
                <w:color w:val="B0523C"/>
                <w:sz w:val="19"/>
                <w:szCs w:val="19"/>
              </w:rPr>
              <w:t>0 per hour</w:t>
            </w:r>
          </w:p>
        </w:tc>
      </w:tr>
    </w:tbl>
    <w:p w14:paraId="3C85BB23" w14:textId="77777777" w:rsidR="005E46B0" w:rsidRDefault="001D1F14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Financial and Administrative Fees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F0CAC1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4899"/>
        <w:gridCol w:w="2653"/>
      </w:tblGrid>
      <w:tr w:rsidR="005E46B0" w14:paraId="073E5A8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54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168F93D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 item</w:t>
            </w:r>
          </w:p>
        </w:tc>
        <w:tc>
          <w:tcPr>
            <w:tcW w:w="4899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32E9CF5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What it covers</w:t>
            </w:r>
          </w:p>
        </w:tc>
        <w:tc>
          <w:tcPr>
            <w:tcW w:w="2653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E485054" w14:textId="77777777" w:rsidR="005E46B0" w:rsidRDefault="001D1F14">
            <w:pPr>
              <w:jc w:val="right"/>
            </w:pPr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</w:t>
            </w:r>
          </w:p>
        </w:tc>
      </w:tr>
      <w:tr w:rsidR="005E46B0" w14:paraId="5D96DC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E235609" w14:textId="77777777" w:rsidR="005E46B0" w:rsidRDefault="001D1F14">
            <w:r>
              <w:rPr>
                <w:b/>
                <w:bCs/>
                <w:sz w:val="19"/>
                <w:szCs w:val="19"/>
              </w:rPr>
              <w:t>Interest on Unpaid Commission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CA8A08A" w14:textId="77777777" w:rsidR="005E46B0" w:rsidRDefault="001D1F14">
            <w:r>
              <w:rPr>
                <w:sz w:val="19"/>
                <w:szCs w:val="19"/>
              </w:rPr>
              <w:t>Charged on overdue commission.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C239EFB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3% p.a. above Bank of England base rate</w:t>
            </w:r>
          </w:p>
        </w:tc>
      </w:tr>
      <w:tr w:rsidR="005E46B0" w14:paraId="4E07F5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F9BA17F" w14:textId="77777777" w:rsidR="005E46B0" w:rsidRDefault="001D1F14">
            <w:r>
              <w:rPr>
                <w:b/>
                <w:bCs/>
                <w:sz w:val="19"/>
                <w:szCs w:val="19"/>
              </w:rPr>
              <w:t>Non-Resident Landlord HMRC Submission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08F7322" w14:textId="77777777" w:rsidR="005E46B0" w:rsidRDefault="001D1F14">
            <w:r>
              <w:rPr>
                <w:sz w:val="19"/>
                <w:szCs w:val="19"/>
              </w:rPr>
              <w:t>Quarterly return and payment calculation for HMRC.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A40ABB4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£120 per quarter</w:t>
            </w:r>
          </w:p>
        </w:tc>
      </w:tr>
      <w:tr w:rsidR="005E46B0" w14:paraId="2BAE58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26BAD07" w14:textId="77777777" w:rsidR="005E46B0" w:rsidRDefault="001D1F14">
            <w:r>
              <w:rPr>
                <w:b/>
                <w:bCs/>
                <w:sz w:val="19"/>
                <w:szCs w:val="19"/>
              </w:rPr>
              <w:t>Annual Income and Expenditure Schedule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7D9BD10" w14:textId="77777777" w:rsidR="005E46B0" w:rsidRDefault="001D1F14">
            <w:r>
              <w:rPr>
                <w:sz w:val="19"/>
                <w:szCs w:val="19"/>
              </w:rPr>
              <w:t>Annual income and expenditure summary.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736C849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£45 annually</w:t>
            </w:r>
          </w:p>
        </w:tc>
      </w:tr>
      <w:tr w:rsidR="005E46B0" w14:paraId="09FD14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A7AD23A" w14:textId="77777777" w:rsidR="005E46B0" w:rsidRDefault="001D1F14">
            <w:r>
              <w:rPr>
                <w:b/>
                <w:bCs/>
                <w:sz w:val="19"/>
                <w:szCs w:val="19"/>
              </w:rPr>
              <w:t>Same-Day Payment</w:t>
            </w:r>
          </w:p>
        </w:tc>
        <w:tc>
          <w:tcPr>
            <w:tcW w:w="4899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4DFE745" w14:textId="77777777" w:rsidR="005E46B0" w:rsidRDefault="001D1F14">
            <w:r>
              <w:rPr>
                <w:sz w:val="19"/>
                <w:szCs w:val="19"/>
              </w:rPr>
              <w:t>Payment ahead of our standard timescale.</w:t>
            </w:r>
          </w:p>
        </w:tc>
        <w:tc>
          <w:tcPr>
            <w:tcW w:w="2653" w:type="dxa"/>
            <w:shd w:val="clear" w:color="auto" w:fill="FBEEE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CB800A3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£30 per payment</w:t>
            </w:r>
          </w:p>
        </w:tc>
      </w:tr>
    </w:tbl>
    <w:p w14:paraId="4CF62DD4" w14:textId="77777777" w:rsidR="005E46B0" w:rsidRDefault="001D1F14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Property Licensing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F0CAC1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4899"/>
        <w:gridCol w:w="2653"/>
      </w:tblGrid>
      <w:tr w:rsidR="005E46B0" w14:paraId="5E8109A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54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B48FD54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 item</w:t>
            </w:r>
          </w:p>
        </w:tc>
        <w:tc>
          <w:tcPr>
            <w:tcW w:w="4899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A2B34CA" w14:textId="77777777" w:rsidR="005E46B0" w:rsidRDefault="001D1F14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What it covers</w:t>
            </w:r>
          </w:p>
        </w:tc>
        <w:tc>
          <w:tcPr>
            <w:tcW w:w="2653" w:type="dxa"/>
            <w:shd w:val="clear" w:color="auto" w:fill="B0523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69508D7" w14:textId="77777777" w:rsidR="005E46B0" w:rsidRDefault="001D1F14">
            <w:pPr>
              <w:jc w:val="right"/>
            </w:pPr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Fee</w:t>
            </w:r>
          </w:p>
        </w:tc>
      </w:tr>
      <w:tr w:rsidR="005E46B0" w14:paraId="036166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4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75D2F6E" w14:textId="77777777" w:rsidR="005E46B0" w:rsidRDefault="001D1F14">
            <w:r>
              <w:rPr>
                <w:b/>
                <w:bCs/>
                <w:sz w:val="19"/>
                <w:szCs w:val="19"/>
              </w:rPr>
              <w:t>Property Licensing</w:t>
            </w:r>
          </w:p>
        </w:tc>
        <w:tc>
          <w:tcPr>
            <w:tcW w:w="4899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CF152EB" w14:textId="77777777" w:rsidR="005E46B0" w:rsidRDefault="001D1F14">
            <w:r>
              <w:rPr>
                <w:sz w:val="19"/>
                <w:szCs w:val="19"/>
              </w:rPr>
              <w:t>Identifying whether an HMO or selective licence may be required. Applications and specialist advice can be arranged separately.</w:t>
            </w:r>
          </w:p>
        </w:tc>
        <w:tc>
          <w:tcPr>
            <w:tcW w:w="2653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106F7E9" w14:textId="77777777" w:rsidR="005E46B0" w:rsidRDefault="001D1F14">
            <w:pPr>
              <w:jc w:val="right"/>
            </w:pPr>
            <w:r>
              <w:rPr>
                <w:b/>
                <w:bCs/>
                <w:color w:val="B0523C"/>
                <w:sz w:val="19"/>
                <w:szCs w:val="19"/>
              </w:rPr>
              <w:t>Quoted separately</w:t>
            </w:r>
          </w:p>
        </w:tc>
      </w:tr>
    </w:tbl>
    <w:p w14:paraId="4AB5B423" w14:textId="77777777" w:rsidR="005E46B0" w:rsidRDefault="005E46B0">
      <w:pPr>
        <w:spacing w:after="160"/>
      </w:pPr>
    </w:p>
    <w:p w14:paraId="37CC9098" w14:textId="77777777" w:rsidR="005E46B0" w:rsidRDefault="001D1F14">
      <w:pPr>
        <w:spacing w:before="320" w:after="120"/>
      </w:pPr>
      <w:r>
        <w:rPr>
          <w:rFonts w:ascii="Publico" w:eastAsia="Publico" w:hAnsi="Publico" w:cs="Publico"/>
          <w:b/>
          <w:bCs/>
          <w:color w:val="B0523C"/>
          <w:sz w:val="22"/>
          <w:szCs w:val="22"/>
        </w:rPr>
        <w:t>Contractor and Compliance Services</w:t>
      </w:r>
    </w:p>
    <w:p w14:paraId="3DD3E4B2" w14:textId="77777777" w:rsidR="005E46B0" w:rsidRDefault="001D1F14">
      <w:pPr>
        <w:spacing w:after="200"/>
      </w:pPr>
      <w:r>
        <w:rPr>
          <w:color w:val="6B6B6D"/>
        </w:rPr>
        <w:t>Prices vary according to the property, work required and contractor availability. The total charge will be confirmed before instruction wherever reasonably practicable.</w:t>
      </w:r>
    </w:p>
    <w:p w14:paraId="04F95377" w14:textId="77777777" w:rsidR="005E46B0" w:rsidRPr="00764EC4" w:rsidRDefault="001D1F14">
      <w:pPr>
        <w:pBdr>
          <w:bottom w:val="single" w:sz="6" w:space="0" w:color="B0523C"/>
        </w:pBdr>
        <w:spacing w:before="420" w:after="180"/>
        <w:rPr>
          <w:sz w:val="22"/>
          <w:szCs w:val="22"/>
        </w:rPr>
      </w:pPr>
      <w:r w:rsidRPr="00764EC4">
        <w:rPr>
          <w:rFonts w:ascii="Publico" w:eastAsia="Publico" w:hAnsi="Publico" w:cs="Publico"/>
          <w:b/>
          <w:bCs/>
          <w:color w:val="B0523C"/>
          <w:sz w:val="22"/>
          <w:szCs w:val="22"/>
        </w:rPr>
        <w:t>Redress and Client Money Protection</w:t>
      </w:r>
    </w:p>
    <w:p w14:paraId="6C03A4B0" w14:textId="77777777" w:rsidR="005E46B0" w:rsidRDefault="001D1F14">
      <w:pPr>
        <w:spacing w:after="80"/>
      </w:pPr>
      <w:r>
        <w:rPr>
          <w:b/>
          <w:bCs/>
        </w:rPr>
        <w:t xml:space="preserve">Independent redress:  </w:t>
      </w:r>
      <w:r>
        <w:rPr>
          <w:color w:val="6B6B6D"/>
        </w:rPr>
        <w:t>The Property Redress Scheme, membership PRS059476 (propertyredress.co.uk).</w:t>
      </w:r>
    </w:p>
    <w:p w14:paraId="62D1F76F" w14:textId="77777777" w:rsidR="005E46B0" w:rsidRDefault="001D1F14">
      <w:pPr>
        <w:spacing w:after="240"/>
      </w:pPr>
      <w:r>
        <w:rPr>
          <w:b/>
          <w:bCs/>
        </w:rPr>
        <w:t xml:space="preserve">Client Money Protection:  </w:t>
      </w:r>
      <w:r>
        <w:rPr>
          <w:color w:val="6B6B6D"/>
        </w:rPr>
        <w:t>Money Shield.</w:t>
      </w:r>
    </w:p>
    <w:p w14:paraId="2C0E5523" w14:textId="77777777" w:rsidR="005E46B0" w:rsidRDefault="005E46B0">
      <w:pPr>
        <w:pBdr>
          <w:top w:val="single" w:sz="8" w:space="0" w:color="B0523C"/>
        </w:pBdr>
        <w:spacing w:before="200"/>
      </w:pPr>
    </w:p>
    <w:p w14:paraId="3CE4E433" w14:textId="77777777" w:rsidR="005E46B0" w:rsidRDefault="001D1F14">
      <w:pPr>
        <w:spacing w:before="160" w:after="40"/>
      </w:pPr>
      <w:r>
        <w:rPr>
          <w:b/>
          <w:bCs/>
          <w:sz w:val="19"/>
          <w:szCs w:val="19"/>
        </w:rPr>
        <w:t>01273 099000</w:t>
      </w:r>
      <w:r>
        <w:rPr>
          <w:color w:val="F0CAC1"/>
          <w:sz w:val="19"/>
          <w:szCs w:val="19"/>
        </w:rPr>
        <w:t xml:space="preserve">   |   </w:t>
      </w:r>
      <w:r>
        <w:rPr>
          <w:b/>
          <w:bCs/>
          <w:sz w:val="19"/>
          <w:szCs w:val="19"/>
        </w:rPr>
        <w:t>www.thebrightonpropertyco.uk</w:t>
      </w:r>
      <w:r>
        <w:rPr>
          <w:color w:val="F0CAC1"/>
          <w:sz w:val="19"/>
          <w:szCs w:val="19"/>
        </w:rPr>
        <w:t xml:space="preserve">   |   </w:t>
      </w:r>
      <w:r>
        <w:rPr>
          <w:b/>
          <w:bCs/>
          <w:sz w:val="19"/>
          <w:szCs w:val="19"/>
        </w:rPr>
        <w:t>hello@thebrightonpropertyco.uk</w:t>
      </w:r>
    </w:p>
    <w:p w14:paraId="3413531E" w14:textId="3E6450B6" w:rsidR="005E46B0" w:rsidRDefault="001D1F14">
      <w:r>
        <w:rPr>
          <w:i/>
          <w:iCs/>
          <w:color w:val="6B6B6D"/>
          <w:sz w:val="18"/>
          <w:szCs w:val="18"/>
        </w:rPr>
        <w:t xml:space="preserve">Effective from: </w:t>
      </w:r>
      <w:r w:rsidR="00B12377">
        <w:rPr>
          <w:i/>
          <w:iCs/>
          <w:color w:val="6B6B6D"/>
          <w:sz w:val="18"/>
          <w:szCs w:val="18"/>
        </w:rPr>
        <w:t>1</w:t>
      </w:r>
      <w:r w:rsidR="00B12377" w:rsidRPr="00B12377">
        <w:rPr>
          <w:i/>
          <w:iCs/>
          <w:color w:val="6B6B6D"/>
          <w:sz w:val="18"/>
          <w:szCs w:val="18"/>
          <w:vertAlign w:val="superscript"/>
        </w:rPr>
        <w:t>st</w:t>
      </w:r>
      <w:r w:rsidR="00B12377">
        <w:rPr>
          <w:i/>
          <w:iCs/>
          <w:color w:val="6B6B6D"/>
          <w:sz w:val="18"/>
          <w:szCs w:val="18"/>
        </w:rPr>
        <w:t xml:space="preserve"> August 2026</w:t>
      </w:r>
    </w:p>
    <w:sectPr w:rsidR="005E46B0">
      <w:pgSz w:w="11906" w:h="16838"/>
      <w:pgMar w:top="850" w:right="850" w:bottom="85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lag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o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632B6"/>
    <w:multiLevelType w:val="hybridMultilevel"/>
    <w:tmpl w:val="4A866002"/>
    <w:lvl w:ilvl="0" w:tplc="9782DEE8">
      <w:start w:val="1"/>
      <w:numFmt w:val="bullet"/>
      <w:lvlText w:val="●"/>
      <w:lvlJc w:val="left"/>
      <w:pPr>
        <w:ind w:left="720" w:hanging="360"/>
      </w:pPr>
    </w:lvl>
    <w:lvl w:ilvl="1" w:tplc="EC9CE2CE">
      <w:start w:val="1"/>
      <w:numFmt w:val="bullet"/>
      <w:lvlText w:val="○"/>
      <w:lvlJc w:val="left"/>
      <w:pPr>
        <w:ind w:left="1440" w:hanging="360"/>
      </w:pPr>
    </w:lvl>
    <w:lvl w:ilvl="2" w:tplc="8BE0726A">
      <w:start w:val="1"/>
      <w:numFmt w:val="bullet"/>
      <w:lvlText w:val="■"/>
      <w:lvlJc w:val="left"/>
      <w:pPr>
        <w:ind w:left="2160" w:hanging="360"/>
      </w:pPr>
    </w:lvl>
    <w:lvl w:ilvl="3" w:tplc="DD78CCDE">
      <w:start w:val="1"/>
      <w:numFmt w:val="bullet"/>
      <w:lvlText w:val="●"/>
      <w:lvlJc w:val="left"/>
      <w:pPr>
        <w:ind w:left="2880" w:hanging="360"/>
      </w:pPr>
    </w:lvl>
    <w:lvl w:ilvl="4" w:tplc="0EB8EA1C">
      <w:start w:val="1"/>
      <w:numFmt w:val="bullet"/>
      <w:lvlText w:val="○"/>
      <w:lvlJc w:val="left"/>
      <w:pPr>
        <w:ind w:left="3600" w:hanging="360"/>
      </w:pPr>
    </w:lvl>
    <w:lvl w:ilvl="5" w:tplc="EECCB5D4">
      <w:start w:val="1"/>
      <w:numFmt w:val="bullet"/>
      <w:lvlText w:val="■"/>
      <w:lvlJc w:val="left"/>
      <w:pPr>
        <w:ind w:left="4320" w:hanging="360"/>
      </w:pPr>
    </w:lvl>
    <w:lvl w:ilvl="6" w:tplc="24BCA03C">
      <w:start w:val="1"/>
      <w:numFmt w:val="bullet"/>
      <w:lvlText w:val="●"/>
      <w:lvlJc w:val="left"/>
      <w:pPr>
        <w:ind w:left="5040" w:hanging="360"/>
      </w:pPr>
    </w:lvl>
    <w:lvl w:ilvl="7" w:tplc="BCDE46FC">
      <w:start w:val="1"/>
      <w:numFmt w:val="bullet"/>
      <w:lvlText w:val="●"/>
      <w:lvlJc w:val="left"/>
      <w:pPr>
        <w:ind w:left="5760" w:hanging="360"/>
      </w:pPr>
    </w:lvl>
    <w:lvl w:ilvl="8" w:tplc="8E641F0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7DA5F68"/>
    <w:multiLevelType w:val="hybridMultilevel"/>
    <w:tmpl w:val="AC62ACE8"/>
    <w:lvl w:ilvl="0" w:tplc="AB6A704C">
      <w:start w:val="1"/>
      <w:numFmt w:val="bullet"/>
      <w:lvlText w:val="—"/>
      <w:lvlJc w:val="left"/>
      <w:pPr>
        <w:ind w:left="260" w:hanging="200"/>
      </w:pPr>
      <w:rPr>
        <w:rFonts w:ascii="Verlag" w:eastAsia="Verlag" w:hAnsi="Verlag" w:cs="Verlag"/>
        <w:color w:val="B0523C"/>
      </w:rPr>
    </w:lvl>
    <w:lvl w:ilvl="1" w:tplc="7C1000C2">
      <w:numFmt w:val="decimal"/>
      <w:lvlText w:val=""/>
      <w:lvlJc w:val="left"/>
    </w:lvl>
    <w:lvl w:ilvl="2" w:tplc="7E3C2AC6">
      <w:numFmt w:val="decimal"/>
      <w:lvlText w:val=""/>
      <w:lvlJc w:val="left"/>
    </w:lvl>
    <w:lvl w:ilvl="3" w:tplc="3768E610">
      <w:numFmt w:val="decimal"/>
      <w:lvlText w:val=""/>
      <w:lvlJc w:val="left"/>
    </w:lvl>
    <w:lvl w:ilvl="4" w:tplc="7BD895D8">
      <w:numFmt w:val="decimal"/>
      <w:lvlText w:val=""/>
      <w:lvlJc w:val="left"/>
    </w:lvl>
    <w:lvl w:ilvl="5" w:tplc="E572F5A8">
      <w:numFmt w:val="decimal"/>
      <w:lvlText w:val=""/>
      <w:lvlJc w:val="left"/>
    </w:lvl>
    <w:lvl w:ilvl="6" w:tplc="B98A9876">
      <w:numFmt w:val="decimal"/>
      <w:lvlText w:val=""/>
      <w:lvlJc w:val="left"/>
    </w:lvl>
    <w:lvl w:ilvl="7" w:tplc="63922FF6">
      <w:numFmt w:val="decimal"/>
      <w:lvlText w:val=""/>
      <w:lvlJc w:val="left"/>
    </w:lvl>
    <w:lvl w:ilvl="8" w:tplc="6C1281B8">
      <w:numFmt w:val="decimal"/>
      <w:lvlText w:val=""/>
      <w:lvlJc w:val="left"/>
    </w:lvl>
  </w:abstractNum>
  <w:num w:numId="1" w16cid:durableId="1551720962">
    <w:abstractNumId w:val="0"/>
    <w:lvlOverride w:ilvl="0">
      <w:startOverride w:val="1"/>
    </w:lvlOverride>
  </w:num>
  <w:num w:numId="2" w16cid:durableId="48092288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6B0"/>
    <w:rsid w:val="005B1020"/>
    <w:rsid w:val="005E46B0"/>
    <w:rsid w:val="00764EC4"/>
    <w:rsid w:val="00B12377"/>
    <w:rsid w:val="00B6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6C920"/>
  <w15:docId w15:val="{1954C812-C552-4ECF-A724-F3067232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lag" w:eastAsia="Verlag" w:hAnsi="Verlag" w:cs="Verlag"/>
        <w:color w:val="41404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957</Words>
  <Characters>5369</Characters>
  <Application>Microsoft Office Word</Application>
  <DocSecurity>0</DocSecurity>
  <Lines>268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Carly Davies</cp:lastModifiedBy>
  <cp:revision>4</cp:revision>
  <dcterms:created xsi:type="dcterms:W3CDTF">2026-07-21T21:02:00Z</dcterms:created>
  <dcterms:modified xsi:type="dcterms:W3CDTF">2026-07-21T21:03:00Z</dcterms:modified>
</cp:coreProperties>
</file>