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8501" w14:textId="77777777" w:rsidR="0031173A" w:rsidRDefault="00F22E93" w:rsidP="008D37F2">
      <w:pPr>
        <w:spacing w:after="200"/>
        <w:jc w:val="right"/>
      </w:pPr>
      <w:r>
        <w:rPr>
          <w:noProof/>
        </w:rPr>
        <w:drawing>
          <wp:inline distT="0" distB="0" distL="0" distR="0" wp14:anchorId="55701FFD" wp14:editId="4987FD28">
            <wp:extent cx="23431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D316F" w14:textId="77777777" w:rsidR="0031173A" w:rsidRPr="008D37F2" w:rsidRDefault="00F22E93">
      <w:pPr>
        <w:spacing w:before="240" w:after="160"/>
        <w:rPr>
          <w:sz w:val="40"/>
          <w:szCs w:val="40"/>
        </w:rPr>
      </w:pPr>
      <w:r w:rsidRPr="008D37F2">
        <w:rPr>
          <w:rFonts w:ascii="Publico" w:eastAsia="Publico" w:hAnsi="Publico" w:cs="Publico"/>
          <w:b/>
          <w:bCs/>
          <w:sz w:val="40"/>
          <w:szCs w:val="40"/>
        </w:rPr>
        <w:t>Tenant Permitted Payments</w:t>
      </w:r>
    </w:p>
    <w:p w14:paraId="5F2E4065" w14:textId="2C47C1AE" w:rsidR="0031173A" w:rsidRDefault="00F22E93">
      <w:pPr>
        <w:pBdr>
          <w:left w:val="single" w:sz="18" w:space="0" w:color="B0523C"/>
        </w:pBdr>
        <w:spacing w:after="100"/>
        <w:ind w:left="200"/>
      </w:pPr>
      <w:r>
        <w:rPr>
          <w:b/>
          <w:bCs/>
          <w:sz w:val="21"/>
          <w:szCs w:val="21"/>
        </w:rPr>
        <w:t xml:space="preserve"> This schedule applies to assured periodic tenancies in England.</w:t>
      </w:r>
    </w:p>
    <w:p w14:paraId="0C695110" w14:textId="77777777" w:rsidR="0031173A" w:rsidRDefault="00F22E93">
      <w:pPr>
        <w:spacing w:after="260"/>
      </w:pPr>
      <w:r>
        <w:rPr>
          <w:color w:val="6B6B6D"/>
        </w:rPr>
        <w:t xml:space="preserve">In addition to the rent, tenants may be required to make the following payments </w:t>
      </w:r>
      <w:proofErr w:type="gramStart"/>
      <w:r>
        <w:rPr>
          <w:color w:val="6B6B6D"/>
        </w:rPr>
        <w:t>where</w:t>
      </w:r>
      <w:proofErr w:type="gramEnd"/>
      <w:r>
        <w:rPr>
          <w:color w:val="6B6B6D"/>
        </w:rPr>
        <w:t xml:space="preserve"> permitted under the Tenant Fees Act 2019.</w:t>
      </w:r>
    </w:p>
    <w:p w14:paraId="3F579BA5" w14:textId="77777777" w:rsidR="0031173A" w:rsidRDefault="00F22E93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Before the Tenancy Starts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8"/>
        <w:gridCol w:w="7348"/>
      </w:tblGrid>
      <w:tr w:rsidR="0031173A" w14:paraId="46BFF4D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58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EFAD1B3" w14:textId="77777777" w:rsidR="0031173A" w:rsidRDefault="00F22E93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Payment</w:t>
            </w:r>
          </w:p>
        </w:tc>
        <w:tc>
          <w:tcPr>
            <w:tcW w:w="7348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74B81D1" w14:textId="77777777" w:rsidR="0031173A" w:rsidRDefault="00F22E93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Details</w:t>
            </w:r>
          </w:p>
        </w:tc>
      </w:tr>
      <w:tr w:rsidR="0031173A" w14:paraId="3B0731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D207B46" w14:textId="77777777" w:rsidR="0031173A" w:rsidRDefault="00F22E93">
            <w:r>
              <w:rPr>
                <w:b/>
                <w:bCs/>
                <w:sz w:val="19"/>
                <w:szCs w:val="19"/>
              </w:rPr>
              <w:t>Holding deposit</w:t>
            </w:r>
          </w:p>
        </w:tc>
        <w:tc>
          <w:tcPr>
            <w:tcW w:w="734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2261BD8" w14:textId="77777777" w:rsidR="0031173A" w:rsidRDefault="00F22E93">
            <w:r>
              <w:rPr>
                <w:sz w:val="19"/>
                <w:szCs w:val="19"/>
              </w:rPr>
              <w:t xml:space="preserve">Up to one week's rent to reserve the property. It may be retained where an applicant withdraws, fails a Right to Rent check, provides materially false or misleading information, or fails to take reasonable steps to </w:t>
            </w:r>
            <w:proofErr w:type="gramStart"/>
            <w:r>
              <w:rPr>
                <w:sz w:val="19"/>
                <w:szCs w:val="19"/>
              </w:rPr>
              <w:t>enter into</w:t>
            </w:r>
            <w:proofErr w:type="gramEnd"/>
            <w:r>
              <w:rPr>
                <w:sz w:val="19"/>
                <w:szCs w:val="19"/>
              </w:rPr>
              <w:t xml:space="preserve"> the tenancy within the agreed deadline.</w:t>
            </w:r>
          </w:p>
        </w:tc>
      </w:tr>
      <w:tr w:rsidR="0031173A" w14:paraId="52844E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E028AB6" w14:textId="77777777" w:rsidR="0031173A" w:rsidRDefault="00F22E93">
            <w:r>
              <w:rPr>
                <w:b/>
                <w:bCs/>
                <w:sz w:val="19"/>
                <w:szCs w:val="19"/>
              </w:rPr>
              <w:t>Tenancy deposit</w:t>
            </w:r>
          </w:p>
        </w:tc>
        <w:tc>
          <w:tcPr>
            <w:tcW w:w="734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2903D16" w14:textId="77777777" w:rsidR="0031173A" w:rsidRDefault="00F22E93">
            <w:r>
              <w:rPr>
                <w:sz w:val="19"/>
                <w:szCs w:val="19"/>
              </w:rPr>
              <w:t>Up to five weeks' rent where the annual rent is below £50,000, or six weeks' rent where the annual rent is £50,000 or more. The deposit will be protected in a government-approved scheme.</w:t>
            </w:r>
          </w:p>
        </w:tc>
      </w:tr>
    </w:tbl>
    <w:p w14:paraId="38B45458" w14:textId="77777777" w:rsidR="0031173A" w:rsidRDefault="00F22E93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During the Tenancy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8"/>
        <w:gridCol w:w="7348"/>
      </w:tblGrid>
      <w:tr w:rsidR="0031173A" w14:paraId="34E7F40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58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9149034" w14:textId="77777777" w:rsidR="0031173A" w:rsidRDefault="00F22E93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Payment</w:t>
            </w:r>
          </w:p>
        </w:tc>
        <w:tc>
          <w:tcPr>
            <w:tcW w:w="7348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4ED0BBC" w14:textId="77777777" w:rsidR="0031173A" w:rsidRDefault="00F22E93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Details</w:t>
            </w:r>
          </w:p>
        </w:tc>
      </w:tr>
      <w:tr w:rsidR="0031173A" w14:paraId="129A3F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18A7EE0" w14:textId="77777777" w:rsidR="0031173A" w:rsidRDefault="00F22E93">
            <w:r>
              <w:rPr>
                <w:b/>
                <w:bCs/>
                <w:sz w:val="19"/>
                <w:szCs w:val="19"/>
              </w:rPr>
              <w:t>Tenant-requested changes</w:t>
            </w:r>
          </w:p>
        </w:tc>
        <w:tc>
          <w:tcPr>
            <w:tcW w:w="734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9321D48" w14:textId="77777777" w:rsidR="0031173A" w:rsidRDefault="00F22E93">
            <w:r>
              <w:rPr>
                <w:sz w:val="19"/>
                <w:szCs w:val="19"/>
              </w:rPr>
              <w:t>Up to £50 for an agreed change to the tenancy, including a change of sharer, or the reasonable evidenced cost where this is higher.</w:t>
            </w:r>
          </w:p>
        </w:tc>
      </w:tr>
      <w:tr w:rsidR="0031173A" w14:paraId="4B5BD5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271C524" w14:textId="77777777" w:rsidR="0031173A" w:rsidRDefault="00F22E93">
            <w:r>
              <w:rPr>
                <w:b/>
                <w:bCs/>
                <w:sz w:val="19"/>
                <w:szCs w:val="19"/>
              </w:rPr>
              <w:t>Late payment of rent</w:t>
            </w:r>
          </w:p>
        </w:tc>
        <w:tc>
          <w:tcPr>
            <w:tcW w:w="734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1A4D3BE" w14:textId="77777777" w:rsidR="0031173A" w:rsidRDefault="00F22E93">
            <w:r>
              <w:rPr>
                <w:sz w:val="19"/>
                <w:szCs w:val="19"/>
              </w:rPr>
              <w:t>Interest at no more than 3% above the Bank of England base rate where rent is at least 14 days overdue.</w:t>
            </w:r>
          </w:p>
        </w:tc>
      </w:tr>
      <w:tr w:rsidR="0031173A" w14:paraId="347482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D1863D0" w14:textId="77777777" w:rsidR="0031173A" w:rsidRDefault="00F22E93">
            <w:r>
              <w:rPr>
                <w:b/>
                <w:bCs/>
                <w:sz w:val="19"/>
                <w:szCs w:val="19"/>
              </w:rPr>
              <w:t>Lost keys or security devices</w:t>
            </w:r>
          </w:p>
        </w:tc>
        <w:tc>
          <w:tcPr>
            <w:tcW w:w="7348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BB9DD88" w14:textId="77777777" w:rsidR="0031173A" w:rsidRDefault="00F22E93">
            <w:r>
              <w:rPr>
                <w:sz w:val="19"/>
                <w:szCs w:val="19"/>
              </w:rPr>
              <w:t>The reasonable evidenced cost of replacing lost or damaged keys, fobs, security devices or associated locks.</w:t>
            </w:r>
          </w:p>
        </w:tc>
      </w:tr>
      <w:tr w:rsidR="0031173A" w14:paraId="053E33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4BA59CA" w14:textId="77777777" w:rsidR="0031173A" w:rsidRDefault="00F22E93">
            <w:r>
              <w:rPr>
                <w:b/>
                <w:bCs/>
                <w:sz w:val="19"/>
                <w:szCs w:val="19"/>
              </w:rPr>
              <w:t>Overseas payments</w:t>
            </w:r>
          </w:p>
        </w:tc>
        <w:tc>
          <w:tcPr>
            <w:tcW w:w="7348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C138E13" w14:textId="77777777" w:rsidR="0031173A" w:rsidRDefault="00F22E93">
            <w:r>
              <w:rPr>
                <w:sz w:val="19"/>
                <w:szCs w:val="19"/>
              </w:rPr>
              <w:t>£30 per payment where the tenant asks us to make a payment to a non-UK bank account.</w:t>
            </w:r>
          </w:p>
        </w:tc>
      </w:tr>
    </w:tbl>
    <w:p w14:paraId="3E5496E8" w14:textId="77777777" w:rsidR="0031173A" w:rsidRDefault="00F22E93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Bills and Services</w:t>
      </w:r>
    </w:p>
    <w:p w14:paraId="4E2E1EAB" w14:textId="77777777" w:rsidR="0031173A" w:rsidRDefault="00F22E93">
      <w:pPr>
        <w:spacing w:after="260"/>
      </w:pPr>
      <w:r>
        <w:rPr>
          <w:color w:val="6B6B6D"/>
        </w:rPr>
        <w:t>Where provided for in the tenancy agreement, tenants may also be responsible for gas, electricity, water and sewerage, telephone, broadband and television services, a television licence and council tax.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1173A" w14:paraId="345F64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E5875F"/>
              <w:bottom w:val="none" w:sz="0" w:space="0" w:color="FFFFFF"/>
              <w:right w:val="none" w:sz="0" w:space="0" w:color="FFFFFF"/>
            </w:tcBorders>
            <w:shd w:val="clear" w:color="auto" w:fill="FBEEE9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5A5B5E89" w14:textId="77777777" w:rsidR="0031173A" w:rsidRDefault="00F22E93">
            <w:pPr>
              <w:spacing w:after="120"/>
            </w:pPr>
            <w:r>
              <w:rPr>
                <w:b/>
                <w:bCs/>
                <w:color w:val="B0523C"/>
                <w:spacing w:val="20"/>
                <w:sz w:val="17"/>
                <w:szCs w:val="17"/>
              </w:rPr>
              <w:t>TENANT PROTECTION</w:t>
            </w:r>
          </w:p>
          <w:p w14:paraId="7E46947E" w14:textId="77777777" w:rsidR="0031173A" w:rsidRDefault="00F22E93">
            <w:pPr>
              <w:spacing w:after="80"/>
            </w:pPr>
            <w:r>
              <w:rPr>
                <w:b/>
                <w:bCs/>
              </w:rPr>
              <w:t xml:space="preserve">Client money protection (CMP) provided by Money Shield: </w:t>
            </w:r>
            <w:r>
              <w:rPr>
                <w:color w:val="6B6B6D"/>
              </w:rPr>
              <w:t>money-shield.co.uk</w:t>
            </w:r>
          </w:p>
          <w:p w14:paraId="74BBA719" w14:textId="77777777" w:rsidR="0031173A" w:rsidRDefault="00F22E93">
            <w:pPr>
              <w:spacing w:after="160"/>
            </w:pPr>
            <w:r>
              <w:rPr>
                <w:b/>
                <w:bCs/>
              </w:rPr>
              <w:t xml:space="preserve">Ombudsman services provided by the Property Redress Scheme (PRS): </w:t>
            </w:r>
            <w:r>
              <w:rPr>
                <w:color w:val="6B6B6D"/>
              </w:rPr>
              <w:t>theprs.co.uk/</w:t>
            </w:r>
            <w:proofErr w:type="spellStart"/>
            <w:r>
              <w:rPr>
                <w:color w:val="6B6B6D"/>
              </w:rPr>
              <w:t>contactus</w:t>
            </w:r>
            <w:proofErr w:type="spellEnd"/>
          </w:p>
          <w:p w14:paraId="5E0657B3" w14:textId="77777777" w:rsidR="0031173A" w:rsidRDefault="00F22E93">
            <w:r>
              <w:rPr>
                <w:rFonts w:ascii="Publico" w:eastAsia="Publico" w:hAnsi="Publico" w:cs="Publico"/>
                <w:b/>
                <w:bCs/>
                <w:i/>
                <w:iCs/>
                <w:color w:val="B0523C"/>
              </w:rPr>
              <w:t>No other tenant fees will be charged for assured periodic tenancies.</w:t>
            </w:r>
          </w:p>
        </w:tc>
      </w:tr>
    </w:tbl>
    <w:p w14:paraId="4A99302D" w14:textId="77777777" w:rsidR="0031173A" w:rsidRDefault="0031173A">
      <w:pPr>
        <w:pBdr>
          <w:top w:val="single" w:sz="8" w:space="0" w:color="B0523C"/>
        </w:pBdr>
        <w:spacing w:before="320"/>
      </w:pPr>
    </w:p>
    <w:p w14:paraId="71DA0EA1" w14:textId="77777777" w:rsidR="0031173A" w:rsidRDefault="00F22E93">
      <w:pPr>
        <w:spacing w:before="160"/>
      </w:pPr>
      <w:r>
        <w:rPr>
          <w:b/>
          <w:bCs/>
          <w:sz w:val="19"/>
          <w:szCs w:val="19"/>
        </w:rPr>
        <w:t>01273 099000</w:t>
      </w:r>
      <w:r>
        <w:rPr>
          <w:color w:val="F0CAC1"/>
          <w:sz w:val="19"/>
          <w:szCs w:val="19"/>
        </w:rPr>
        <w:t xml:space="preserve">   |   </w:t>
      </w:r>
      <w:r>
        <w:rPr>
          <w:b/>
          <w:bCs/>
          <w:sz w:val="19"/>
          <w:szCs w:val="19"/>
        </w:rPr>
        <w:t>www.thebrightonpropertyco.uk</w:t>
      </w:r>
      <w:r>
        <w:rPr>
          <w:color w:val="F0CAC1"/>
          <w:sz w:val="19"/>
          <w:szCs w:val="19"/>
        </w:rPr>
        <w:t xml:space="preserve">   |   </w:t>
      </w:r>
      <w:r>
        <w:rPr>
          <w:b/>
          <w:bCs/>
          <w:sz w:val="19"/>
          <w:szCs w:val="19"/>
        </w:rPr>
        <w:t>hello@thebrightonpropertyco.uk</w:t>
      </w:r>
    </w:p>
    <w:sectPr w:rsidR="0031173A"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lag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A2F55"/>
    <w:multiLevelType w:val="hybridMultilevel"/>
    <w:tmpl w:val="3BE420DC"/>
    <w:lvl w:ilvl="0" w:tplc="1E12FCCA">
      <w:start w:val="1"/>
      <w:numFmt w:val="bullet"/>
      <w:lvlText w:val="●"/>
      <w:lvlJc w:val="left"/>
      <w:pPr>
        <w:ind w:left="720" w:hanging="360"/>
      </w:pPr>
    </w:lvl>
    <w:lvl w:ilvl="1" w:tplc="7C9A87D2">
      <w:start w:val="1"/>
      <w:numFmt w:val="bullet"/>
      <w:lvlText w:val="○"/>
      <w:lvlJc w:val="left"/>
      <w:pPr>
        <w:ind w:left="1440" w:hanging="360"/>
      </w:pPr>
    </w:lvl>
    <w:lvl w:ilvl="2" w:tplc="20C6B956">
      <w:start w:val="1"/>
      <w:numFmt w:val="bullet"/>
      <w:lvlText w:val="■"/>
      <w:lvlJc w:val="left"/>
      <w:pPr>
        <w:ind w:left="2160" w:hanging="360"/>
      </w:pPr>
    </w:lvl>
    <w:lvl w:ilvl="3" w:tplc="CCBE13E6">
      <w:start w:val="1"/>
      <w:numFmt w:val="bullet"/>
      <w:lvlText w:val="●"/>
      <w:lvlJc w:val="left"/>
      <w:pPr>
        <w:ind w:left="2880" w:hanging="360"/>
      </w:pPr>
    </w:lvl>
    <w:lvl w:ilvl="4" w:tplc="A5BA4688">
      <w:start w:val="1"/>
      <w:numFmt w:val="bullet"/>
      <w:lvlText w:val="○"/>
      <w:lvlJc w:val="left"/>
      <w:pPr>
        <w:ind w:left="3600" w:hanging="360"/>
      </w:pPr>
    </w:lvl>
    <w:lvl w:ilvl="5" w:tplc="3F2866AA">
      <w:start w:val="1"/>
      <w:numFmt w:val="bullet"/>
      <w:lvlText w:val="■"/>
      <w:lvlJc w:val="left"/>
      <w:pPr>
        <w:ind w:left="4320" w:hanging="360"/>
      </w:pPr>
    </w:lvl>
    <w:lvl w:ilvl="6" w:tplc="24B23A56">
      <w:start w:val="1"/>
      <w:numFmt w:val="bullet"/>
      <w:lvlText w:val="●"/>
      <w:lvlJc w:val="left"/>
      <w:pPr>
        <w:ind w:left="5040" w:hanging="360"/>
      </w:pPr>
    </w:lvl>
    <w:lvl w:ilvl="7" w:tplc="86BEA3F4">
      <w:start w:val="1"/>
      <w:numFmt w:val="bullet"/>
      <w:lvlText w:val="●"/>
      <w:lvlJc w:val="left"/>
      <w:pPr>
        <w:ind w:left="5760" w:hanging="360"/>
      </w:pPr>
    </w:lvl>
    <w:lvl w:ilvl="8" w:tplc="35625F4A">
      <w:start w:val="1"/>
      <w:numFmt w:val="bullet"/>
      <w:lvlText w:val="●"/>
      <w:lvlJc w:val="left"/>
      <w:pPr>
        <w:ind w:left="6480" w:hanging="360"/>
      </w:pPr>
    </w:lvl>
  </w:abstractNum>
  <w:num w:numId="1" w16cid:durableId="4826243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3A"/>
    <w:rsid w:val="0031173A"/>
    <w:rsid w:val="008D37F2"/>
    <w:rsid w:val="00B66720"/>
    <w:rsid w:val="00F2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6DB8"/>
  <w15:docId w15:val="{1954C812-C552-4ECF-A724-F3067232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lag" w:eastAsia="Verlag" w:hAnsi="Verlag" w:cs="Verlag"/>
        <w:color w:val="41404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1592</Characters>
  <Application>Microsoft Office Word</Application>
  <DocSecurity>0</DocSecurity>
  <Lines>79</Lines>
  <Paragraphs>66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Carly Davies</cp:lastModifiedBy>
  <cp:revision>2</cp:revision>
  <dcterms:created xsi:type="dcterms:W3CDTF">2026-07-21T21:40:00Z</dcterms:created>
  <dcterms:modified xsi:type="dcterms:W3CDTF">2026-07-21T21:40:00Z</dcterms:modified>
</cp:coreProperties>
</file>